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00"/>
      </w:pPr>
      <w:r>
        <w:rPr>
          <w:rFonts w:ascii="Arial" w:cs="Arial" w:eastAsia="Arial" w:hAnsi="Arial"/>
          <w:b/>
          <w:bCs/>
          <w:color w:val="1F2937"/>
          <w:sz w:val="40"/>
          <w:szCs w:val="40"/>
        </w:rPr>
        <w:t xml:space="preserve">Manual del fiscalizador DT</w:t>
      </w:r>
    </w:p>
    <w:p>
      <w:pPr>
        <w:spacing w:after="200"/>
      </w:pPr>
      <w:r>
        <w:rPr>
          <w:rFonts w:ascii="Arial" w:cs="Arial" w:eastAsia="Arial" w:hAnsi="Arial"/>
          <w:color w:val="4B5563"/>
          <w:sz w:val="24"/>
          <w:szCs w:val="24"/>
        </w:rPr>
        <w:t xml:space="preserve">Sistema de control de asistencia · Acceso de fiscalización</w:t>
      </w:r>
    </w:p>
    <w:p>
      <w:pPr>
        <w:spacing w:after="60"/>
      </w:pPr>
      <w:r>
        <w:rPr>
          <w:rFonts w:ascii="Arial" w:cs="Arial" w:eastAsia="Arial" w:hAnsi="Arial"/>
          <w:b/>
          <w:bCs/>
          <w:sz w:val="20"/>
          <w:szCs w:val="20"/>
        </w:rPr>
        <w:t xml:space="preserve">Control Cloud</w:t>
      </w:r>
    </w:p>
    <w:p>
      <w:pPr>
        <w:spacing w:after="280"/>
      </w:pPr>
      <w:r>
        <w:rPr>
          <w:rFonts w:ascii="Arial" w:cs="Arial" w:eastAsia="Arial" w:hAnsi="Arial"/>
          <w:i/>
          <w:iCs/>
          <w:color w:val="6B7280"/>
          <w:sz w:val="16"/>
          <w:szCs w:val="16"/>
        </w:rPr>
        <w:t xml:space="preserve">Documento generado: 21/07/2026  ·  Sistema autorizado conforme Res. Ex. DT N° 38</w:t>
      </w:r>
    </w:p>
    <w:p>
      <w:pPr>
        <w:pStyle w:val="Heading2"/>
        <w:spacing w:after="140" w:before="280"/>
      </w:pPr>
      <w:r>
        <w:rPr>
          <w:rFonts w:ascii="Arial" w:cs="Arial" w:eastAsia="Arial" w:hAnsi="Arial"/>
          <w:b/>
          <w:bCs/>
          <w:color w:val="1F2937"/>
          <w:sz w:val="26"/>
          <w:szCs w:val="26"/>
        </w:rPr>
        <w:t xml:space="preserve">1. Marco legal del acceso</w:t>
      </w:r>
    </w:p>
    <w:p>
      <w:pPr>
        <w:spacing w:after="80"/>
        <w:jc w:val="left"/>
      </w:pPr>
      <w:r>
        <w:rPr>
          <w:rFonts w:ascii="Arial" w:cs="Arial" w:eastAsia="Arial" w:hAnsi="Arial"/>
          <w:b w:val="false"/>
          <w:bCs w:val="false"/>
          <w:i w:val="false"/>
          <w:iCs w:val="false"/>
          <w:sz w:val="20"/>
          <w:szCs w:val="20"/>
        </w:rPr>
        <w:t xml:space="preserve">Este sistema cumple con la Resolución Exenta DT N° 38 de 2024 y el artículo 33 del Código del Trabajo. La sección 17 de la Res. 38 establece que los fiscalizadores de la Dirección del Trabajo deben tener acceso readonly para revisar la información de control de asistencia sin necesidad de autorización del empleador.</w:t>
      </w:r>
    </w:p>
    <w:p>
      <w:pPr>
        <w:spacing w:after="80"/>
        <w:jc w:val="left"/>
      </w:pPr>
      <w:r>
        <w:rPr>
          <w:rFonts w:ascii="Arial" w:cs="Arial" w:eastAsia="Arial" w:hAnsi="Arial"/>
          <w:b w:val="false"/>
          <w:bCs w:val="false"/>
          <w:i w:val="false"/>
          <w:iCs w:val="false"/>
          <w:sz w:val="20"/>
          <w:szCs w:val="20"/>
        </w:rPr>
        <w:t xml:space="preserve">El acceso se realiza mediante un portal de fiscalización con autenticación por correo institucional @dt.gob.cl y clave temporal.</w:t>
      </w:r>
    </w:p>
    <w:p>
      <w:pPr>
        <w:pStyle w:val="Heading2"/>
        <w:spacing w:after="140" w:before="280"/>
      </w:pPr>
      <w:r>
        <w:rPr>
          <w:rFonts w:ascii="Arial" w:cs="Arial" w:eastAsia="Arial" w:hAnsi="Arial"/>
          <w:b/>
          <w:bCs/>
          <w:color w:val="1F2937"/>
          <w:sz w:val="26"/>
          <w:szCs w:val="26"/>
        </w:rPr>
        <w:t xml:space="preserve">2. Cómo acceder al portal</w:t>
      </w:r>
    </w:p>
    <w:p>
      <w:pPr>
        <w:pStyle w:val="Heading3"/>
        <w:spacing w:after="100" w:before="220"/>
      </w:pPr>
      <w:r>
        <w:rPr>
          <w:rFonts w:ascii="Arial" w:cs="Arial" w:eastAsia="Arial" w:hAnsi="Arial"/>
          <w:b/>
          <w:bCs/>
          <w:color w:val="374151"/>
          <w:sz w:val="22"/>
          <w:szCs w:val="22"/>
        </w:rPr>
        <w:t xml:space="preserve">2.1 Solicitar clave temporal</w:t>
      </w:r>
    </w:p>
    <w:p>
      <w:pPr>
        <w:spacing w:after="80"/>
        <w:ind w:left="360"/>
      </w:pPr>
      <w:r>
        <w:rPr>
          <w:rFonts w:ascii="Arial" w:cs="Arial" w:eastAsia="Arial" w:hAnsi="Arial"/>
          <w:b/>
          <w:bCs/>
          <w:sz w:val="20"/>
          <w:szCs w:val="20"/>
        </w:rPr>
        <w:t xml:space="preserve">1.  </w:t>
      </w:r>
      <w:r>
        <w:rPr>
          <w:rFonts w:ascii="Arial" w:cs="Arial" w:eastAsia="Arial" w:hAnsi="Arial"/>
          <w:sz w:val="20"/>
          <w:szCs w:val="20"/>
        </w:rPr>
        <w:t xml:space="preserve">Abre el portal de fiscalización en https://&lt;dominio-cliente&gt;.lsc.cl/dt-login</w:t>
      </w:r>
    </w:p>
    <w:p>
      <w:pPr>
        <w:spacing w:after="80"/>
        <w:ind w:left="360"/>
      </w:pPr>
      <w:r>
        <w:rPr>
          <w:rFonts w:ascii="Arial" w:cs="Arial" w:eastAsia="Arial" w:hAnsi="Arial"/>
          <w:b/>
          <w:bCs/>
          <w:sz w:val="20"/>
          <w:szCs w:val="20"/>
        </w:rPr>
        <w:t xml:space="preserve">2.  </w:t>
      </w:r>
      <w:r>
        <w:rPr>
          <w:rFonts w:ascii="Arial" w:cs="Arial" w:eastAsia="Arial" w:hAnsi="Arial"/>
          <w:sz w:val="20"/>
          <w:szCs w:val="20"/>
        </w:rPr>
        <w:t xml:space="preserve">Pulsa "Solicitar clave de acceso".</w:t>
      </w:r>
    </w:p>
    <w:p>
      <w:pPr>
        <w:spacing w:after="80"/>
        <w:ind w:left="360"/>
      </w:pPr>
      <w:r>
        <w:rPr>
          <w:rFonts w:ascii="Arial" w:cs="Arial" w:eastAsia="Arial" w:hAnsi="Arial"/>
          <w:b/>
          <w:bCs/>
          <w:sz w:val="20"/>
          <w:szCs w:val="20"/>
        </w:rPr>
        <w:t xml:space="preserve">3.  </w:t>
      </w:r>
      <w:r>
        <w:rPr>
          <w:rFonts w:ascii="Arial" w:cs="Arial" w:eastAsia="Arial" w:hAnsi="Arial"/>
          <w:sz w:val="20"/>
          <w:szCs w:val="20"/>
        </w:rPr>
        <w:t xml:space="preserve">Ingresa tu correo institucional con dominio @dt.gob.cl.</w:t>
      </w:r>
    </w:p>
    <w:p>
      <w:pPr>
        <w:spacing w:after="80"/>
        <w:ind w:left="360"/>
      </w:pPr>
      <w:r>
        <w:rPr>
          <w:rFonts w:ascii="Arial" w:cs="Arial" w:eastAsia="Arial" w:hAnsi="Arial"/>
          <w:b/>
          <w:bCs/>
          <w:sz w:val="20"/>
          <w:szCs w:val="20"/>
        </w:rPr>
        <w:t xml:space="preserve">4.  </w:t>
      </w:r>
      <w:r>
        <w:rPr>
          <w:rFonts w:ascii="Arial" w:cs="Arial" w:eastAsia="Arial" w:hAnsi="Arial"/>
          <w:sz w:val="20"/>
          <w:szCs w:val="20"/>
        </w:rPr>
        <w:t xml:space="preserve">Acepta el captcha si aparece.</w:t>
      </w:r>
    </w:p>
    <w:p>
      <w:pPr>
        <w:spacing w:after="80"/>
        <w:ind w:left="360"/>
      </w:pPr>
      <w:r>
        <w:rPr>
          <w:rFonts w:ascii="Arial" w:cs="Arial" w:eastAsia="Arial" w:hAnsi="Arial"/>
          <w:b/>
          <w:bCs/>
          <w:sz w:val="20"/>
          <w:szCs w:val="20"/>
        </w:rPr>
        <w:t xml:space="preserve">5.  </w:t>
      </w:r>
      <w:r>
        <w:rPr>
          <w:rFonts w:ascii="Arial" w:cs="Arial" w:eastAsia="Arial" w:hAnsi="Arial"/>
          <w:sz w:val="20"/>
          <w:szCs w:val="20"/>
        </w:rPr>
        <w:t xml:space="preserve">Pulsa "Enviar clave".</w:t>
      </w:r>
    </w:p>
    <w:p>
      <w:pPr>
        <w:spacing w:after="80"/>
        <w:ind w:left="360"/>
      </w:pPr>
      <w:r>
        <w:rPr>
          <w:rFonts w:ascii="Arial" w:cs="Arial" w:eastAsia="Arial" w:hAnsi="Arial"/>
          <w:b/>
          <w:bCs/>
          <w:sz w:val="20"/>
          <w:szCs w:val="20"/>
        </w:rPr>
        <w:t xml:space="preserve">6.  </w:t>
      </w:r>
      <w:r>
        <w:rPr>
          <w:rFonts w:ascii="Arial" w:cs="Arial" w:eastAsia="Arial" w:hAnsi="Arial"/>
          <w:sz w:val="20"/>
          <w:szCs w:val="20"/>
        </w:rPr>
        <w:t xml:space="preserve">Recibirás un correo automático con una clave de 16 caracteres alfanuméricos.</w:t>
      </w:r>
    </w:p>
    <w:p>
      <w:pPr>
        <w:pBdr>
          <w:top w:val="single" w:color="BFDBFE" w:sz="4"/>
          <w:bottom w:val="single" w:color="BFDBFE" w:sz="4"/>
          <w:left w:val="single" w:color="BFDBFE" w:sz="4"/>
          <w:right w:val="single" w:color="BFDBFE" w:sz="4"/>
        </w:pBdr>
        <w:shd w:fill="EFF6FF" w:color="auto" w:val="clear"/>
        <w:spacing w:after="120" w:before="120"/>
      </w:pPr>
      <w:r>
        <w:rPr>
          <w:rFonts w:ascii="Arial" w:cs="Arial" w:eastAsia="Arial" w:hAnsi="Arial"/>
          <w:color w:val="1E40AF"/>
          <w:sz w:val="20"/>
          <w:szCs w:val="20"/>
        </w:rPr>
        <w:t xml:space="preserve">La clave es válida por 5 días corridos desde su emisión. Puedes solicitar nuevas claves las veces que necesites — cada una invalida implícitamente la anterior por su propio plazo.</w:t>
      </w:r>
    </w:p>
    <w:p>
      <w:pPr>
        <w:pStyle w:val="Heading3"/>
        <w:spacing w:after="100" w:before="220"/>
      </w:pPr>
      <w:r>
        <w:rPr>
          <w:rFonts w:ascii="Arial" w:cs="Arial" w:eastAsia="Arial" w:hAnsi="Arial"/>
          <w:b/>
          <w:bCs/>
          <w:color w:val="374151"/>
          <w:sz w:val="22"/>
          <w:szCs w:val="22"/>
        </w:rPr>
        <w:t xml:space="preserve">2.2 Login</w:t>
      </w:r>
    </w:p>
    <w:p>
      <w:pPr>
        <w:spacing w:after="80"/>
        <w:ind w:left="360"/>
      </w:pPr>
      <w:r>
        <w:rPr>
          <w:rFonts w:ascii="Arial" w:cs="Arial" w:eastAsia="Arial" w:hAnsi="Arial"/>
          <w:b/>
          <w:bCs/>
          <w:sz w:val="20"/>
          <w:szCs w:val="20"/>
        </w:rPr>
        <w:t xml:space="preserve">1.  </w:t>
      </w:r>
      <w:r>
        <w:rPr>
          <w:rFonts w:ascii="Arial" w:cs="Arial" w:eastAsia="Arial" w:hAnsi="Arial"/>
          <w:sz w:val="20"/>
          <w:szCs w:val="20"/>
        </w:rPr>
        <w:t xml:space="preserve">En la misma página, pulsa "Ya tengo clave".</w:t>
      </w:r>
    </w:p>
    <w:p>
      <w:pPr>
        <w:spacing w:after="80"/>
        <w:ind w:left="360"/>
      </w:pPr>
      <w:r>
        <w:rPr>
          <w:rFonts w:ascii="Arial" w:cs="Arial" w:eastAsia="Arial" w:hAnsi="Arial"/>
          <w:b/>
          <w:bCs/>
          <w:sz w:val="20"/>
          <w:szCs w:val="20"/>
        </w:rPr>
        <w:t xml:space="preserve">2.  </w:t>
      </w:r>
      <w:r>
        <w:rPr>
          <w:rFonts w:ascii="Arial" w:cs="Arial" w:eastAsia="Arial" w:hAnsi="Arial"/>
          <w:sz w:val="20"/>
          <w:szCs w:val="20"/>
        </w:rPr>
        <w:t xml:space="preserve">Ingresa tu correo y la clave recibida.</w:t>
      </w:r>
    </w:p>
    <w:p>
      <w:pPr>
        <w:spacing w:after="80"/>
        <w:ind w:left="360"/>
      </w:pPr>
      <w:r>
        <w:rPr>
          <w:rFonts w:ascii="Arial" w:cs="Arial" w:eastAsia="Arial" w:hAnsi="Arial"/>
          <w:b/>
          <w:bCs/>
          <w:sz w:val="20"/>
          <w:szCs w:val="20"/>
        </w:rPr>
        <w:t xml:space="preserve">3.  </w:t>
      </w:r>
      <w:r>
        <w:rPr>
          <w:rFonts w:ascii="Arial" w:cs="Arial" w:eastAsia="Arial" w:hAnsi="Arial"/>
          <w:sz w:val="20"/>
          <w:szCs w:val="20"/>
        </w:rPr>
        <w:t xml:space="preserve">Pulsa "Ingresar".</w:t>
      </w:r>
    </w:p>
    <w:p>
      <w:pPr>
        <w:spacing w:after="80"/>
        <w:ind w:left="360"/>
      </w:pPr>
      <w:r>
        <w:rPr>
          <w:rFonts w:ascii="Arial" w:cs="Arial" w:eastAsia="Arial" w:hAnsi="Arial"/>
          <w:b/>
          <w:bCs/>
          <w:sz w:val="20"/>
          <w:szCs w:val="20"/>
        </w:rPr>
        <w:t xml:space="preserve">4.  </w:t>
      </w:r>
      <w:r>
        <w:rPr>
          <w:rFonts w:ascii="Arial" w:cs="Arial" w:eastAsia="Arial" w:hAnsi="Arial"/>
          <w:sz w:val="20"/>
          <w:szCs w:val="20"/>
        </w:rPr>
        <w:t xml:space="preserve">Serás redirigido al panel de fiscalización readonly.</w:t>
      </w:r>
    </w:p>
    <w:p>
      <w:pPr>
        <w:pStyle w:val="Heading3"/>
        <w:spacing w:after="100" w:before="220"/>
      </w:pPr>
      <w:r>
        <w:rPr>
          <w:rFonts w:ascii="Arial" w:cs="Arial" w:eastAsia="Arial" w:hAnsi="Arial"/>
          <w:b/>
          <w:bCs/>
          <w:color w:val="374151"/>
          <w:sz w:val="22"/>
          <w:szCs w:val="22"/>
        </w:rPr>
        <w:t xml:space="preserve">2.3 Notificación al empleador</w:t>
      </w:r>
    </w:p>
    <w:p>
      <w:pPr>
        <w:spacing w:after="80"/>
        <w:jc w:val="left"/>
      </w:pPr>
      <w:r>
        <w:rPr>
          <w:rFonts w:ascii="Arial" w:cs="Arial" w:eastAsia="Arial" w:hAnsi="Arial"/>
          <w:b w:val="false"/>
          <w:bCs w:val="false"/>
          <w:i w:val="false"/>
          <w:iCs w:val="false"/>
          <w:sz w:val="20"/>
          <w:szCs w:val="20"/>
        </w:rPr>
        <w:t xml:space="preserve">Cada vez que solicitas una clave o ingresas al panel, el empleador recibe una notificación automática por correo. Esto es transparencia exigida por la Res. 38.</w:t>
      </w:r>
    </w:p>
    <w:p>
      <w:pPr>
        <w:pStyle w:val="Heading2"/>
        <w:spacing w:after="140" w:before="280"/>
      </w:pPr>
      <w:r>
        <w:rPr>
          <w:rFonts w:ascii="Arial" w:cs="Arial" w:eastAsia="Arial" w:hAnsi="Arial"/>
          <w:b/>
          <w:bCs/>
          <w:color w:val="1F2937"/>
          <w:sz w:val="26"/>
          <w:szCs w:val="26"/>
        </w:rPr>
        <w:t xml:space="preserve">3. Navegando el panel</w:t>
      </w:r>
    </w:p>
    <w:p>
      <w:pPr>
        <w:spacing w:after="80"/>
        <w:jc w:val="left"/>
      </w:pPr>
      <w:r>
        <w:rPr>
          <w:rFonts w:ascii="Arial" w:cs="Arial" w:eastAsia="Arial" w:hAnsi="Arial"/>
          <w:b w:val="false"/>
          <w:bCs w:val="false"/>
          <w:i w:val="false"/>
          <w:iCs w:val="false"/>
          <w:sz w:val="20"/>
          <w:szCs w:val="20"/>
        </w:rPr>
        <w:t xml:space="preserve">El panel readonly tiene 4 pestañas:</w:t>
      </w:r>
    </w:p>
    <w:p>
      <w:pPr>
        <w:pStyle w:val="Heading3"/>
        <w:spacing w:after="100" w:before="220"/>
      </w:pPr>
      <w:r>
        <w:rPr>
          <w:rFonts w:ascii="Arial" w:cs="Arial" w:eastAsia="Arial" w:hAnsi="Arial"/>
          <w:b/>
          <w:bCs/>
          <w:color w:val="374151"/>
          <w:sz w:val="22"/>
          <w:szCs w:val="22"/>
        </w:rPr>
        <w:t xml:space="preserve">3.1 Trabajadores</w:t>
      </w:r>
    </w:p>
    <w:p>
      <w:pPr>
        <w:spacing w:after="80"/>
        <w:jc w:val="left"/>
      </w:pPr>
      <w:r>
        <w:rPr>
          <w:rFonts w:ascii="Arial" w:cs="Arial" w:eastAsia="Arial" w:hAnsi="Arial"/>
          <w:b w:val="false"/>
          <w:bCs w:val="false"/>
          <w:i w:val="false"/>
          <w:iCs w:val="false"/>
          <w:sz w:val="20"/>
          <w:szCs w:val="20"/>
        </w:rPr>
        <w:t xml:space="preserve">Lista de todos los trabajadores activos del cliente, con nombre, teléfono, email, cargo y fecha de ingreso.</w:t>
      </w:r>
    </w:p>
    <w:p>
      <w:pPr>
        <w:pStyle w:val="Heading3"/>
        <w:spacing w:after="100" w:before="220"/>
      </w:pPr>
      <w:r>
        <w:rPr>
          <w:rFonts w:ascii="Arial" w:cs="Arial" w:eastAsia="Arial" w:hAnsi="Arial"/>
          <w:b/>
          <w:bCs/>
          <w:color w:val="374151"/>
          <w:sz w:val="22"/>
          <w:szCs w:val="22"/>
        </w:rPr>
        <w:t xml:space="preserve">3.2 Registros</w:t>
      </w:r>
    </w:p>
    <w:p>
      <w:pPr>
        <w:spacing w:after="80"/>
        <w:jc w:val="left"/>
      </w:pPr>
      <w:r>
        <w:rPr>
          <w:rFonts w:ascii="Arial" w:cs="Arial" w:eastAsia="Arial" w:hAnsi="Arial"/>
          <w:b w:val="false"/>
          <w:bCs w:val="false"/>
          <w:i w:val="false"/>
          <w:iCs w:val="false"/>
          <w:sz w:val="20"/>
          <w:szCs w:val="20"/>
        </w:rPr>
        <w:t xml:space="preserve">Tabla de todas las marcaciones, con filtros por:</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Período (desde-hasta).</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Trabajador específico.</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Cargo.</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Tipo de marca (entrada, colación, salida).</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Estado (a tiempo, tarde, fuera de zona).</w:t>
      </w:r>
    </w:p>
    <w:p>
      <w:pPr>
        <w:pStyle w:val="Heading3"/>
        <w:spacing w:after="100" w:before="220"/>
      </w:pPr>
      <w:r>
        <w:rPr>
          <w:rFonts w:ascii="Arial" w:cs="Arial" w:eastAsia="Arial" w:hAnsi="Arial"/>
          <w:b/>
          <w:bCs/>
          <w:color w:val="374151"/>
          <w:sz w:val="22"/>
          <w:szCs w:val="22"/>
        </w:rPr>
        <w:t xml:space="preserve">3.3 Verificar hash</w:t>
      </w:r>
    </w:p>
    <w:p>
      <w:pPr>
        <w:spacing w:after="80"/>
        <w:jc w:val="left"/>
      </w:pPr>
      <w:r>
        <w:rPr>
          <w:rFonts w:ascii="Arial" w:cs="Arial" w:eastAsia="Arial" w:hAnsi="Arial"/>
          <w:b w:val="false"/>
          <w:bCs w:val="false"/>
          <w:i w:val="false"/>
          <w:iCs w:val="false"/>
          <w:sz w:val="20"/>
          <w:szCs w:val="20"/>
        </w:rPr>
        <w:t xml:space="preserve">Permite ingresar el código SHA-256 de cualquier marca y verificar su autenticidad. Si los datos en pantalla no coinciden con los del comprobante del trabajador, hay evidencia de manipulación.</w:t>
      </w:r>
    </w:p>
    <w:p>
      <w:pPr>
        <w:pStyle w:val="Heading3"/>
        <w:spacing w:after="100" w:before="220"/>
      </w:pPr>
      <w:r>
        <w:rPr>
          <w:rFonts w:ascii="Arial" w:cs="Arial" w:eastAsia="Arial" w:hAnsi="Arial"/>
          <w:b/>
          <w:bCs/>
          <w:color w:val="374151"/>
          <w:sz w:val="22"/>
          <w:szCs w:val="22"/>
        </w:rPr>
        <w:t xml:space="preserve">3.4 Reportes formales (Art. 27)</w:t>
      </w:r>
    </w:p>
    <w:p>
      <w:pPr>
        <w:spacing w:after="80"/>
        <w:jc w:val="left"/>
      </w:pPr>
      <w:r>
        <w:rPr>
          <w:rFonts w:ascii="Arial" w:cs="Arial" w:eastAsia="Arial" w:hAnsi="Arial"/>
          <w:b w:val="false"/>
          <w:bCs w:val="false"/>
          <w:i w:val="false"/>
          <w:iCs w:val="false"/>
          <w:sz w:val="20"/>
          <w:szCs w:val="20"/>
        </w:rPr>
        <w:t xml:space="preserve">Genera y descarga los 6 reportes obligatorios. Para cada uno puedes elegir:</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Tipo (asistencia / jornada / dom-festivos / cambios-turno / diario / incidentes-tecnicos).</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Período (desde-hasta).</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Filtros opcionales (trabajador, cargo, severidad, etc.).</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Formato (PDF, Excel, Word).</w:t>
      </w:r>
    </w:p>
    <w:p>
      <w:pPr>
        <w:pStyle w:val="Heading2"/>
        <w:spacing w:after="140" w:before="280"/>
      </w:pPr>
      <w:r>
        <w:rPr>
          <w:rFonts w:ascii="Arial" w:cs="Arial" w:eastAsia="Arial" w:hAnsi="Arial"/>
          <w:b/>
          <w:bCs/>
          <w:color w:val="1F2937"/>
          <w:sz w:val="26"/>
          <w:szCs w:val="26"/>
        </w:rPr>
        <w:t xml:space="preserve">4. Los 6 reportes obligatorios (Art. 27)</w:t>
      </w:r>
    </w:p>
    <w:tbl>
      <w:tblPr>
        <w:tblW w:type="pct" w:w="100%"/>
        <w:tblBorders>
          <w:top w:val="single" w:color="D1D5DB" w:sz="4"/>
          <w:left w:val="single" w:color="D1D5DB" w:sz="4"/>
          <w:bottom w:val="single" w:color="D1D5DB" w:sz="4"/>
          <w:right w:val="single" w:color="D1D5DB" w:sz="4"/>
          <w:insideH w:val="single" w:color="D1D5DB" w:sz="4"/>
          <w:insideV w:val="single" w:color="D1D5DB" w:sz="4"/>
        </w:tblBorders>
      </w:tblPr>
      <w:tblGrid>
        <w:gridCol w:w="100"/>
        <w:gridCol w:w="100"/>
        <w:gridCol w:w="100"/>
      </w:tblGrid>
      <w:tr>
        <w:trPr>
          <w:tblHeader/>
        </w:trPr>
        <w:tc>
          <w:tcPr>
            <w:tcW w:type="dxa" w:w="800"/>
            <w:shd w:fill="E5E7EB" w:color="auto" w:val="clear"/>
            <w:tcMar>
              <w:top w:type="dxa" w:w="80"/>
              <w:left w:type="dxa" w:w="100"/>
              <w:bottom w:type="dxa" w:w="80"/>
              <w:right w:type="dxa" w:w="100"/>
            </w:tcMar>
          </w:tcPr>
          <w:p>
            <w:r>
              <w:rPr>
                <w:rFonts w:ascii="Arial" w:cs="Arial" w:eastAsia="Arial" w:hAnsi="Arial"/>
                <w:b/>
                <w:bCs/>
                <w:sz w:val="18"/>
                <w:szCs w:val="18"/>
              </w:rPr>
              <w:t xml:space="preserve">Letra</w:t>
            </w:r>
          </w:p>
        </w:tc>
        <w:tc>
          <w:tcPr>
            <w:tcW w:type="dxa" w:w="2700"/>
            <w:shd w:fill="E5E7EB" w:color="auto" w:val="clear"/>
            <w:tcMar>
              <w:top w:type="dxa" w:w="80"/>
              <w:left w:type="dxa" w:w="100"/>
              <w:bottom w:type="dxa" w:w="80"/>
              <w:right w:type="dxa" w:w="100"/>
            </w:tcMar>
          </w:tcPr>
          <w:p>
            <w:r>
              <w:rPr>
                <w:rFonts w:ascii="Arial" w:cs="Arial" w:eastAsia="Arial" w:hAnsi="Arial"/>
                <w:b/>
                <w:bCs/>
                <w:sz w:val="18"/>
                <w:szCs w:val="18"/>
              </w:rPr>
              <w:t xml:space="preserve">Reporte</w:t>
            </w:r>
          </w:p>
        </w:tc>
        <w:tc>
          <w:tcPr>
            <w:tcW w:type="dxa" w:w="5000"/>
            <w:shd w:fill="E5E7EB" w:color="auto" w:val="clear"/>
            <w:tcMar>
              <w:top w:type="dxa" w:w="80"/>
              <w:left w:type="dxa" w:w="100"/>
              <w:bottom w:type="dxa" w:w="80"/>
              <w:right w:type="dxa" w:w="100"/>
            </w:tcMar>
          </w:tcPr>
          <w:p>
            <w:r>
              <w:rPr>
                <w:rFonts w:ascii="Arial" w:cs="Arial" w:eastAsia="Arial" w:hAnsi="Arial"/>
                <w:b/>
                <w:bCs/>
                <w:sz w:val="18"/>
                <w:szCs w:val="18"/>
              </w:rPr>
              <w:t xml:space="preserve">Qué muestra</w:t>
            </w:r>
          </w:p>
        </w:tc>
      </w:tr>
      <w:tr>
        <w:tc>
          <w:tcPr>
            <w:tcW w:type="dxa" w:w="800"/>
            <w:tcMar>
              <w:top w:type="dxa" w:w="80"/>
              <w:left w:type="dxa" w:w="100"/>
              <w:bottom w:type="dxa" w:w="80"/>
              <w:right w:type="dxa" w:w="100"/>
            </w:tcMar>
          </w:tcPr>
          <w:p>
            <w:r>
              <w:rPr>
                <w:rFonts w:ascii="Arial" w:cs="Arial" w:eastAsia="Arial" w:hAnsi="Arial"/>
                <w:sz w:val="18"/>
                <w:szCs w:val="18"/>
              </w:rPr>
              <w:t xml:space="preserve">a</w:t>
            </w:r>
          </w:p>
        </w:tc>
        <w:tc>
          <w:tcPr>
            <w:tcW w:type="dxa" w:w="2700"/>
            <w:tcMar>
              <w:top w:type="dxa" w:w="80"/>
              <w:left w:type="dxa" w:w="100"/>
              <w:bottom w:type="dxa" w:w="80"/>
              <w:right w:type="dxa" w:w="100"/>
            </w:tcMar>
          </w:tcPr>
          <w:p>
            <w:r>
              <w:rPr>
                <w:rFonts w:ascii="Arial" w:cs="Arial" w:eastAsia="Arial" w:hAnsi="Arial"/>
                <w:sz w:val="18"/>
                <w:szCs w:val="18"/>
              </w:rPr>
              <w:t xml:space="preserve">Asistencia</w:t>
            </w:r>
          </w:p>
        </w:tc>
        <w:tc>
          <w:tcPr>
            <w:tcW w:type="dxa" w:w="5000"/>
            <w:tcMar>
              <w:top w:type="dxa" w:w="80"/>
              <w:left w:type="dxa" w:w="100"/>
              <w:bottom w:type="dxa" w:w="80"/>
              <w:right w:type="dxa" w:w="100"/>
            </w:tcMar>
          </w:tcPr>
          <w:p>
            <w:r>
              <w:rPr>
                <w:rFonts w:ascii="Arial" w:cs="Arial" w:eastAsia="Arial" w:hAnsi="Arial"/>
                <w:sz w:val="18"/>
                <w:szCs w:val="18"/>
              </w:rPr>
              <w:t xml:space="preserve">Diaria por trabajador. Estados: presente, justificada, falta, festivo</w:t>
            </w:r>
          </w:p>
        </w:tc>
      </w:tr>
      <w:tr>
        <w:tc>
          <w:tcPr>
            <w:tcW w:type="dxa" w:w="800"/>
            <w:shd w:fill="F9FAFB" w:color="auto" w:val="clear"/>
            <w:tcMar>
              <w:top w:type="dxa" w:w="80"/>
              <w:left w:type="dxa" w:w="100"/>
              <w:bottom w:type="dxa" w:w="80"/>
              <w:right w:type="dxa" w:w="100"/>
            </w:tcMar>
          </w:tcPr>
          <w:p>
            <w:r>
              <w:rPr>
                <w:rFonts w:ascii="Arial" w:cs="Arial" w:eastAsia="Arial" w:hAnsi="Arial"/>
                <w:sz w:val="18"/>
                <w:szCs w:val="18"/>
              </w:rPr>
              <w:t xml:space="preserve">b</w:t>
            </w:r>
          </w:p>
        </w:tc>
        <w:tc>
          <w:tcPr>
            <w:tcW w:type="dxa" w:w="2700"/>
            <w:shd w:fill="F9FAFB" w:color="auto" w:val="clear"/>
            <w:tcMar>
              <w:top w:type="dxa" w:w="80"/>
              <w:left w:type="dxa" w:w="100"/>
              <w:bottom w:type="dxa" w:w="80"/>
              <w:right w:type="dxa" w:w="100"/>
            </w:tcMar>
          </w:tcPr>
          <w:p>
            <w:r>
              <w:rPr>
                <w:rFonts w:ascii="Arial" w:cs="Arial" w:eastAsia="Arial" w:hAnsi="Arial"/>
                <w:sz w:val="18"/>
                <w:szCs w:val="18"/>
              </w:rPr>
              <w:t xml:space="preserve">Jornada diaria</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Pactada vs efectiva con marcas reales de colación, dif +/-</w:t>
            </w:r>
          </w:p>
        </w:tc>
      </w:tr>
      <w:tr>
        <w:tc>
          <w:tcPr>
            <w:tcW w:type="dxa" w:w="800"/>
            <w:tcMar>
              <w:top w:type="dxa" w:w="80"/>
              <w:left w:type="dxa" w:w="100"/>
              <w:bottom w:type="dxa" w:w="80"/>
              <w:right w:type="dxa" w:w="100"/>
            </w:tcMar>
          </w:tcPr>
          <w:p>
            <w:r>
              <w:rPr>
                <w:rFonts w:ascii="Arial" w:cs="Arial" w:eastAsia="Arial" w:hAnsi="Arial"/>
                <w:sz w:val="18"/>
                <w:szCs w:val="18"/>
              </w:rPr>
              <w:t xml:space="preserve">c</w:t>
            </w:r>
          </w:p>
        </w:tc>
        <w:tc>
          <w:tcPr>
            <w:tcW w:type="dxa" w:w="2700"/>
            <w:tcMar>
              <w:top w:type="dxa" w:w="80"/>
              <w:left w:type="dxa" w:w="100"/>
              <w:bottom w:type="dxa" w:w="80"/>
              <w:right w:type="dxa" w:w="100"/>
            </w:tcMar>
          </w:tcPr>
          <w:p>
            <w:r>
              <w:rPr>
                <w:rFonts w:ascii="Arial" w:cs="Arial" w:eastAsia="Arial" w:hAnsi="Arial"/>
                <w:sz w:val="18"/>
                <w:szCs w:val="18"/>
              </w:rPr>
              <w:t xml:space="preserve">Domingos y festivos</w:t>
            </w:r>
          </w:p>
        </w:tc>
        <w:tc>
          <w:tcPr>
            <w:tcW w:type="dxa" w:w="5000"/>
            <w:tcMar>
              <w:top w:type="dxa" w:w="80"/>
              <w:left w:type="dxa" w:w="100"/>
              <w:bottom w:type="dxa" w:w="80"/>
              <w:right w:type="dxa" w:w="100"/>
            </w:tcMar>
          </w:tcPr>
          <w:p>
            <w:r>
              <w:rPr>
                <w:rFonts w:ascii="Arial" w:cs="Arial" w:eastAsia="Arial" w:hAnsi="Arial"/>
                <w:sz w:val="18"/>
                <w:szCs w:val="18"/>
              </w:rPr>
              <w:t xml:space="preserve">Días dom/fest trabajados con totales mensuales por trabajador</w:t>
            </w:r>
          </w:p>
        </w:tc>
      </w:tr>
      <w:tr>
        <w:tc>
          <w:tcPr>
            <w:tcW w:type="dxa" w:w="800"/>
            <w:shd w:fill="F9FAFB" w:color="auto" w:val="clear"/>
            <w:tcMar>
              <w:top w:type="dxa" w:w="80"/>
              <w:left w:type="dxa" w:w="100"/>
              <w:bottom w:type="dxa" w:w="80"/>
              <w:right w:type="dxa" w:w="100"/>
            </w:tcMar>
          </w:tcPr>
          <w:p>
            <w:r>
              <w:rPr>
                <w:rFonts w:ascii="Arial" w:cs="Arial" w:eastAsia="Arial" w:hAnsi="Arial"/>
                <w:sz w:val="18"/>
                <w:szCs w:val="18"/>
              </w:rPr>
              <w:t xml:space="preserve">d</w:t>
            </w:r>
          </w:p>
        </w:tc>
        <w:tc>
          <w:tcPr>
            <w:tcW w:type="dxa" w:w="2700"/>
            <w:shd w:fill="F9FAFB" w:color="auto" w:val="clear"/>
            <w:tcMar>
              <w:top w:type="dxa" w:w="80"/>
              <w:left w:type="dxa" w:w="100"/>
              <w:bottom w:type="dxa" w:w="80"/>
              <w:right w:type="dxa" w:w="100"/>
            </w:tcMar>
          </w:tcPr>
          <w:p>
            <w:r>
              <w:rPr>
                <w:rFonts w:ascii="Arial" w:cs="Arial" w:eastAsia="Arial" w:hAnsi="Arial"/>
                <w:sz w:val="18"/>
                <w:szCs w:val="18"/>
              </w:rPr>
              <w:t xml:space="preserve">Cambios de turno</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Cambios con snapshot original/nuevo, motivo, autorización, estado</w:t>
            </w:r>
          </w:p>
        </w:tc>
      </w:tr>
      <w:tr>
        <w:tc>
          <w:tcPr>
            <w:tcW w:type="dxa" w:w="800"/>
            <w:tcMar>
              <w:top w:type="dxa" w:w="80"/>
              <w:left w:type="dxa" w:w="100"/>
              <w:bottom w:type="dxa" w:w="80"/>
              <w:right w:type="dxa" w:w="100"/>
            </w:tcMar>
          </w:tcPr>
          <w:p>
            <w:r>
              <w:rPr>
                <w:rFonts w:ascii="Arial" w:cs="Arial" w:eastAsia="Arial" w:hAnsi="Arial"/>
                <w:sz w:val="18"/>
                <w:szCs w:val="18"/>
              </w:rPr>
              <w:t xml:space="preserve">e</w:t>
            </w:r>
          </w:p>
        </w:tc>
        <w:tc>
          <w:tcPr>
            <w:tcW w:type="dxa" w:w="2700"/>
            <w:tcMar>
              <w:top w:type="dxa" w:w="80"/>
              <w:left w:type="dxa" w:w="100"/>
              <w:bottom w:type="dxa" w:w="80"/>
              <w:right w:type="dxa" w:w="100"/>
            </w:tcMar>
          </w:tcPr>
          <w:p>
            <w:r>
              <w:rPr>
                <w:rFonts w:ascii="Arial" w:cs="Arial" w:eastAsia="Arial" w:hAnsi="Arial"/>
                <w:sz w:val="18"/>
                <w:szCs w:val="18"/>
              </w:rPr>
              <w:t xml:space="preserve">Reporte diario</w:t>
            </w:r>
          </w:p>
        </w:tc>
        <w:tc>
          <w:tcPr>
            <w:tcW w:type="dxa" w:w="5000"/>
            <w:tcMar>
              <w:top w:type="dxa" w:w="80"/>
              <w:left w:type="dxa" w:w="100"/>
              <w:bottom w:type="dxa" w:w="80"/>
              <w:right w:type="dxa" w:w="100"/>
            </w:tcMar>
          </w:tcPr>
          <w:p>
            <w:r>
              <w:rPr>
                <w:rFonts w:ascii="Arial" w:cs="Arial" w:eastAsia="Arial" w:hAnsi="Arial"/>
                <w:sz w:val="18"/>
                <w:szCs w:val="18"/>
              </w:rPr>
              <w:t xml:space="preserve">Cierre del día con todas las marcas</w:t>
            </w:r>
          </w:p>
        </w:tc>
      </w:tr>
      <w:tr>
        <w:tc>
          <w:tcPr>
            <w:tcW w:type="dxa" w:w="800"/>
            <w:shd w:fill="F9FAFB" w:color="auto" w:val="clear"/>
            <w:tcMar>
              <w:top w:type="dxa" w:w="80"/>
              <w:left w:type="dxa" w:w="100"/>
              <w:bottom w:type="dxa" w:w="80"/>
              <w:right w:type="dxa" w:w="100"/>
            </w:tcMar>
          </w:tcPr>
          <w:p>
            <w:r>
              <w:rPr>
                <w:rFonts w:ascii="Arial" w:cs="Arial" w:eastAsia="Arial" w:hAnsi="Arial"/>
                <w:sz w:val="18"/>
                <w:szCs w:val="18"/>
              </w:rPr>
              <w:t xml:space="preserve">f</w:t>
            </w:r>
          </w:p>
        </w:tc>
        <w:tc>
          <w:tcPr>
            <w:tcW w:type="dxa" w:w="2700"/>
            <w:shd w:fill="F9FAFB" w:color="auto" w:val="clear"/>
            <w:tcMar>
              <w:top w:type="dxa" w:w="80"/>
              <w:left w:type="dxa" w:w="100"/>
              <w:bottom w:type="dxa" w:w="80"/>
              <w:right w:type="dxa" w:w="100"/>
            </w:tcMar>
          </w:tcPr>
          <w:p>
            <w:r>
              <w:rPr>
                <w:rFonts w:ascii="Arial" w:cs="Arial" w:eastAsia="Arial" w:hAnsi="Arial"/>
                <w:sz w:val="18"/>
                <w:szCs w:val="18"/>
              </w:rPr>
              <w:t xml:space="preserve">Incidentes técnicos</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Fallas del sistema, mantenimientos, severidad, acción tomada</w:t>
            </w:r>
          </w:p>
        </w:tc>
      </w:tr>
    </w:tbl>
    <w:p>
      <w:r>
        <w:rPr>
          <w:sz w:val="14"/>
          <w:szCs w:val="14"/>
        </w:rPr>
        <w:t xml:space="preserve"/>
      </w:r>
    </w:p>
    <w:p>
      <w:pPr>
        <w:spacing w:after="80"/>
        <w:jc w:val="left"/>
      </w:pPr>
      <w:r>
        <w:rPr>
          <w:rFonts w:ascii="Arial" w:cs="Arial" w:eastAsia="Arial" w:hAnsi="Arial"/>
          <w:b w:val="false"/>
          <w:bCs w:val="false"/>
          <w:i w:val="false"/>
          <w:iCs w:val="false"/>
          <w:sz w:val="20"/>
          <w:szCs w:val="20"/>
        </w:rPr>
        <w:t xml:space="preserve">Cada reporte incluye:</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Cabecera con datos del empleador (nombre, RUT, dirección).</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Período del reporte.</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Tabla detalle con todos los registros.</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Pie de página con leyenda legal.</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Numeración de páginas.</w:t>
      </w:r>
    </w:p>
    <w:p>
      <w:pPr>
        <w:pStyle w:val="Heading2"/>
        <w:spacing w:after="140" w:before="280"/>
      </w:pPr>
      <w:r>
        <w:rPr>
          <w:rFonts w:ascii="Arial" w:cs="Arial" w:eastAsia="Arial" w:hAnsi="Arial"/>
          <w:b/>
          <w:bCs/>
          <w:color w:val="1F2937"/>
          <w:sz w:val="26"/>
          <w:szCs w:val="26"/>
        </w:rPr>
        <w:t xml:space="preserve">5. Descarga y validación de evidencia</w:t>
      </w:r>
    </w:p>
    <w:p>
      <w:pPr>
        <w:spacing w:after="80"/>
        <w:jc w:val="left"/>
      </w:pPr>
      <w:r>
        <w:rPr>
          <w:rFonts w:ascii="Arial" w:cs="Arial" w:eastAsia="Arial" w:hAnsi="Arial"/>
          <w:b w:val="false"/>
          <w:bCs w:val="false"/>
          <w:i w:val="false"/>
          <w:iCs w:val="false"/>
          <w:sz w:val="20"/>
          <w:szCs w:val="20"/>
        </w:rPr>
        <w:t xml:space="preserve">Las descargas son en formato:</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PDF: idéntico a la vista previa, pensado para imprimir.</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Excel: editable, con colores y filtros nativos.</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Word: editable, mantiene formato.</w:t>
      </w:r>
    </w:p>
    <w:p>
      <w:pPr>
        <w:spacing w:after="80"/>
        <w:jc w:val="left"/>
      </w:pPr>
      <w:r>
        <w:rPr>
          <w:rFonts w:ascii="Arial" w:cs="Arial" w:eastAsia="Arial" w:hAnsi="Arial"/>
          <w:b w:val="false"/>
          <w:bCs w:val="false"/>
          <w:i w:val="false"/>
          <w:iCs w:val="false"/>
          <w:sz w:val="20"/>
          <w:szCs w:val="20"/>
        </w:rPr>
        <w:t xml:space="preserve">Cada descarga queda registrada en la tabla accesos_dt con:</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Tu correo @dt.gob.cl.</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Fecha y hora exacta.</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IP de origen.</w:t>
      </w:r>
    </w:p>
    <w:p>
      <w:pPr>
        <w:spacing w:after="60"/>
        <w:ind w:left="360"/>
      </w:pPr>
      <w:r>
        <w:rPr>
          <w:rFonts w:ascii="Arial" w:cs="Arial" w:eastAsia="Arial" w:hAnsi="Arial"/>
          <w:sz w:val="20"/>
          <w:szCs w:val="20"/>
        </w:rPr>
        <w:t xml:space="preserve">•  </w:t>
      </w:r>
      <w:r>
        <w:rPr>
          <w:rFonts w:ascii="Arial" w:cs="Arial" w:eastAsia="Arial" w:hAnsi="Arial"/>
          <w:sz w:val="20"/>
          <w:szCs w:val="20"/>
        </w:rPr>
        <w:t xml:space="preserve">Tipo de reporte y filtros aplicados.</w:t>
      </w:r>
    </w:p>
    <w:p>
      <w:pPr>
        <w:spacing w:after="80"/>
        <w:jc w:val="left"/>
      </w:pPr>
      <w:r>
        <w:rPr>
          <w:rFonts w:ascii="Arial" w:cs="Arial" w:eastAsia="Arial" w:hAnsi="Arial"/>
          <w:b w:val="false"/>
          <w:bCs w:val="false"/>
          <w:i w:val="false"/>
          <w:iCs w:val="false"/>
          <w:sz w:val="20"/>
          <w:szCs w:val="20"/>
        </w:rPr>
        <w:t xml:space="preserve">Esto es evidencia de cumplimiento por parte del sistema y del empleador, NO un control sobre ti — la tabla es inmutable y nadie (ni el administrador, ni siquiera el dueño del sistema) puede modificarla.</w:t>
      </w:r>
    </w:p>
    <w:p>
      <w:pPr>
        <w:pStyle w:val="Heading2"/>
        <w:spacing w:after="140" w:before="280"/>
      </w:pPr>
      <w:r>
        <w:rPr>
          <w:rFonts w:ascii="Arial" w:cs="Arial" w:eastAsia="Arial" w:hAnsi="Arial"/>
          <w:b/>
          <w:bCs/>
          <w:color w:val="1F2937"/>
          <w:sz w:val="26"/>
          <w:szCs w:val="26"/>
        </w:rPr>
        <w:t xml:space="preserve">6. Garantías técnicas que ofrece el sistema</w:t>
      </w:r>
    </w:p>
    <w:p>
      <w:pPr>
        <w:spacing w:after="80"/>
        <w:jc w:val="left"/>
      </w:pPr>
      <w:r>
        <w:rPr>
          <w:rFonts w:ascii="Arial" w:cs="Arial" w:eastAsia="Arial" w:hAnsi="Arial"/>
          <w:b w:val="false"/>
          <w:bCs w:val="false"/>
          <w:i w:val="false"/>
          <w:iCs w:val="false"/>
          <w:sz w:val="20"/>
          <w:szCs w:val="20"/>
        </w:rPr>
        <w:t xml:space="preserve">Para tu evaluación, estas son las garantías que el sistema implementa:</w:t>
      </w:r>
    </w:p>
    <w:tbl>
      <w:tblPr>
        <w:tblW w:type="pct" w:w="100%"/>
        <w:tblBorders>
          <w:top w:val="single" w:color="D1D5DB" w:sz="4"/>
          <w:left w:val="single" w:color="D1D5DB" w:sz="4"/>
          <w:bottom w:val="single" w:color="D1D5DB" w:sz="4"/>
          <w:right w:val="single" w:color="D1D5DB" w:sz="4"/>
          <w:insideH w:val="single" w:color="D1D5DB" w:sz="4"/>
          <w:insideV w:val="single" w:color="D1D5DB" w:sz="4"/>
        </w:tblBorders>
      </w:tblPr>
      <w:tblGrid>
        <w:gridCol w:w="100"/>
        <w:gridCol w:w="100"/>
      </w:tblGrid>
      <w:tr>
        <w:trPr>
          <w:tblHeader/>
        </w:trPr>
        <w:tc>
          <w:tcPr>
            <w:tcW w:type="dxa" w:w="3500"/>
            <w:shd w:fill="E5E7EB" w:color="auto" w:val="clear"/>
            <w:tcMar>
              <w:top w:type="dxa" w:w="80"/>
              <w:left w:type="dxa" w:w="100"/>
              <w:bottom w:type="dxa" w:w="80"/>
              <w:right w:type="dxa" w:w="100"/>
            </w:tcMar>
          </w:tcPr>
          <w:p>
            <w:r>
              <w:rPr>
                <w:rFonts w:ascii="Arial" w:cs="Arial" w:eastAsia="Arial" w:hAnsi="Arial"/>
                <w:b/>
                <w:bCs/>
                <w:sz w:val="18"/>
                <w:szCs w:val="18"/>
              </w:rPr>
              <w:t xml:space="preserve">Garantía</w:t>
            </w:r>
          </w:p>
        </w:tc>
        <w:tc>
          <w:tcPr>
            <w:tcW w:type="dxa" w:w="5000"/>
            <w:shd w:fill="E5E7EB" w:color="auto" w:val="clear"/>
            <w:tcMar>
              <w:top w:type="dxa" w:w="80"/>
              <w:left w:type="dxa" w:w="100"/>
              <w:bottom w:type="dxa" w:w="80"/>
              <w:right w:type="dxa" w:w="100"/>
            </w:tcMar>
          </w:tcPr>
          <w:p>
            <w:r>
              <w:rPr>
                <w:rFonts w:ascii="Arial" w:cs="Arial" w:eastAsia="Arial" w:hAnsi="Arial"/>
                <w:b/>
                <w:bCs/>
                <w:sz w:val="18"/>
                <w:szCs w:val="18"/>
              </w:rPr>
              <w:t xml:space="preserve">Cómo se cumple</w:t>
            </w:r>
          </w:p>
        </w:tc>
      </w:tr>
      <w:tr>
        <w:tc>
          <w:tcPr>
            <w:tcW w:type="dxa" w:w="3500"/>
            <w:tcMar>
              <w:top w:type="dxa" w:w="80"/>
              <w:left w:type="dxa" w:w="100"/>
              <w:bottom w:type="dxa" w:w="80"/>
              <w:right w:type="dxa" w:w="100"/>
            </w:tcMar>
          </w:tcPr>
          <w:p>
            <w:r>
              <w:rPr>
                <w:rFonts w:ascii="Arial" w:cs="Arial" w:eastAsia="Arial" w:hAnsi="Arial"/>
                <w:sz w:val="18"/>
                <w:szCs w:val="18"/>
              </w:rPr>
              <w:t xml:space="preserve">Inalterabilidad de marcas</w:t>
            </w:r>
          </w:p>
        </w:tc>
        <w:tc>
          <w:tcPr>
            <w:tcW w:type="dxa" w:w="5000"/>
            <w:tcMar>
              <w:top w:type="dxa" w:w="80"/>
              <w:left w:type="dxa" w:w="100"/>
              <w:bottom w:type="dxa" w:w="80"/>
              <w:right w:type="dxa" w:w="100"/>
            </w:tcMar>
          </w:tcPr>
          <w:p>
            <w:r>
              <w:rPr>
                <w:rFonts w:ascii="Arial" w:cs="Arial" w:eastAsia="Arial" w:hAnsi="Arial"/>
                <w:sz w:val="18"/>
                <w:szCs w:val="18"/>
              </w:rPr>
              <w:t xml:space="preserve">Hash SHA-256 por cada marca + cadena de hashes (prev_hash). Alterar una marca rompe la cadena.</w:t>
            </w:r>
          </w:p>
        </w:tc>
      </w:tr>
      <w:tr>
        <w:tc>
          <w:tcPr>
            <w:tcW w:type="dxa" w:w="3500"/>
            <w:shd w:fill="F9FAFB" w:color="auto" w:val="clear"/>
            <w:tcMar>
              <w:top w:type="dxa" w:w="80"/>
              <w:left w:type="dxa" w:w="100"/>
              <w:bottom w:type="dxa" w:w="80"/>
              <w:right w:type="dxa" w:w="100"/>
            </w:tcMar>
          </w:tcPr>
          <w:p>
            <w:r>
              <w:rPr>
                <w:rFonts w:ascii="Arial" w:cs="Arial" w:eastAsia="Arial" w:hAnsi="Arial"/>
                <w:sz w:val="18"/>
                <w:szCs w:val="18"/>
              </w:rPr>
              <w:t xml:space="preserve">Inalterabilidad de auditoría</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Tablas audit_logs, accesos_dt, correcciones, retenciones_aplicadas, incidentes_tecnicos, cambios_turno tienen triggers SQLite que prohíben UPDATE y DELETE.</w:t>
            </w:r>
          </w:p>
        </w:tc>
      </w:tr>
      <w:tr>
        <w:tc>
          <w:tcPr>
            <w:tcW w:type="dxa" w:w="3500"/>
            <w:tcMar>
              <w:top w:type="dxa" w:w="80"/>
              <w:left w:type="dxa" w:w="100"/>
              <w:bottom w:type="dxa" w:w="80"/>
              <w:right w:type="dxa" w:w="100"/>
            </w:tcMar>
          </w:tcPr>
          <w:p>
            <w:r>
              <w:rPr>
                <w:rFonts w:ascii="Arial" w:cs="Arial" w:eastAsia="Arial" w:hAnsi="Arial"/>
                <w:sz w:val="18"/>
                <w:szCs w:val="18"/>
              </w:rPr>
              <w:t xml:space="preserve">Trazabilidad de correcciones</w:t>
            </w:r>
          </w:p>
        </w:tc>
        <w:tc>
          <w:tcPr>
            <w:tcW w:type="dxa" w:w="5000"/>
            <w:tcMar>
              <w:top w:type="dxa" w:w="80"/>
              <w:left w:type="dxa" w:w="100"/>
              <w:bottom w:type="dxa" w:w="80"/>
              <w:right w:type="dxa" w:w="100"/>
            </w:tcMar>
          </w:tcPr>
          <w:p>
            <w:r>
              <w:rPr>
                <w:rFonts w:ascii="Arial" w:cs="Arial" w:eastAsia="Arial" w:hAnsi="Arial"/>
                <w:sz w:val="18"/>
                <w:szCs w:val="18"/>
              </w:rPr>
              <w:t xml:space="preserve">Una marca corregida preserva el hash original en hash_anterior. Toda corrección requiere motivo y notificación al trabajador con plazo de oposición de 48h.</w:t>
            </w:r>
          </w:p>
        </w:tc>
      </w:tr>
      <w:tr>
        <w:tc>
          <w:tcPr>
            <w:tcW w:type="dxa" w:w="3500"/>
            <w:shd w:fill="F9FAFB" w:color="auto" w:val="clear"/>
            <w:tcMar>
              <w:top w:type="dxa" w:w="80"/>
              <w:left w:type="dxa" w:w="100"/>
              <w:bottom w:type="dxa" w:w="80"/>
              <w:right w:type="dxa" w:w="100"/>
            </w:tcMar>
          </w:tcPr>
          <w:p>
            <w:r>
              <w:rPr>
                <w:rFonts w:ascii="Arial" w:cs="Arial" w:eastAsia="Arial" w:hAnsi="Arial"/>
                <w:sz w:val="18"/>
                <w:szCs w:val="18"/>
              </w:rPr>
              <w:t xml:space="preserve">Hora del servidor</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Las marcas usan la hora del servidor (no del cliente), con timezone configurable.</w:t>
            </w:r>
          </w:p>
        </w:tc>
      </w:tr>
      <w:tr>
        <w:tc>
          <w:tcPr>
            <w:tcW w:type="dxa" w:w="3500"/>
            <w:tcMar>
              <w:top w:type="dxa" w:w="80"/>
              <w:left w:type="dxa" w:w="100"/>
              <w:bottom w:type="dxa" w:w="80"/>
              <w:right w:type="dxa" w:w="100"/>
            </w:tcMar>
          </w:tcPr>
          <w:p>
            <w:r>
              <w:rPr>
                <w:rFonts w:ascii="Arial" w:cs="Arial" w:eastAsia="Arial" w:hAnsi="Arial"/>
                <w:sz w:val="18"/>
                <w:szCs w:val="18"/>
              </w:rPr>
              <w:t xml:space="preserve">Comprobante con verificador</w:t>
            </w:r>
          </w:p>
        </w:tc>
        <w:tc>
          <w:tcPr>
            <w:tcW w:type="dxa" w:w="5000"/>
            <w:tcMar>
              <w:top w:type="dxa" w:w="80"/>
              <w:left w:type="dxa" w:w="100"/>
              <w:bottom w:type="dxa" w:w="80"/>
              <w:right w:type="dxa" w:w="100"/>
            </w:tcMar>
          </w:tcPr>
          <w:p>
            <w:r>
              <w:rPr>
                <w:rFonts w:ascii="Arial" w:cs="Arial" w:eastAsia="Arial" w:hAnsi="Arial"/>
                <w:sz w:val="18"/>
                <w:szCs w:val="18"/>
              </w:rPr>
              <w:t xml:space="preserve">Cada trabajador recibe correo con su hash + URL pública para validar autenticidad.</w:t>
            </w:r>
          </w:p>
        </w:tc>
      </w:tr>
      <w:tr>
        <w:tc>
          <w:tcPr>
            <w:tcW w:type="dxa" w:w="3500"/>
            <w:shd w:fill="F9FAFB" w:color="auto" w:val="clear"/>
            <w:tcMar>
              <w:top w:type="dxa" w:w="80"/>
              <w:left w:type="dxa" w:w="100"/>
              <w:bottom w:type="dxa" w:w="80"/>
              <w:right w:type="dxa" w:w="100"/>
            </w:tcMar>
          </w:tcPr>
          <w:p>
            <w:r>
              <w:rPr>
                <w:rFonts w:ascii="Arial" w:cs="Arial" w:eastAsia="Arial" w:hAnsi="Arial"/>
                <w:sz w:val="18"/>
                <w:szCs w:val="18"/>
              </w:rPr>
              <w:t xml:space="preserve">Geocerca permisiva</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Las marcas fuera de zona se registran con observación, NO se bloquean (Art. 35).</w:t>
            </w:r>
          </w:p>
        </w:tc>
      </w:tr>
      <w:tr>
        <w:tc>
          <w:tcPr>
            <w:tcW w:type="dxa" w:w="3500"/>
            <w:tcMar>
              <w:top w:type="dxa" w:w="80"/>
              <w:left w:type="dxa" w:w="100"/>
              <w:bottom w:type="dxa" w:w="80"/>
              <w:right w:type="dxa" w:w="100"/>
            </w:tcMar>
          </w:tcPr>
          <w:p>
            <w:r>
              <w:rPr>
                <w:rFonts w:ascii="Arial" w:cs="Arial" w:eastAsia="Arial" w:hAnsi="Arial"/>
                <w:sz w:val="18"/>
                <w:szCs w:val="18"/>
              </w:rPr>
              <w:t xml:space="preserve">Privacidad post-desvinculación</w:t>
            </w:r>
          </w:p>
        </w:tc>
        <w:tc>
          <w:tcPr>
            <w:tcW w:type="dxa" w:w="5000"/>
            <w:tcMar>
              <w:top w:type="dxa" w:w="80"/>
              <w:left w:type="dxa" w:w="100"/>
              <w:bottom w:type="dxa" w:w="80"/>
              <w:right w:type="dxa" w:w="100"/>
            </w:tcMar>
          </w:tcPr>
          <w:p>
            <w:r>
              <w:rPr>
                <w:rFonts w:ascii="Arial" w:cs="Arial" w:eastAsia="Arial" w:hAnsi="Arial"/>
                <w:sz w:val="18"/>
                <w:szCs w:val="18"/>
              </w:rPr>
              <w:t xml:space="preserve">Los datos personales se anonimizan automáticamente entre 90 y 120 días después del cese.</w:t>
            </w:r>
          </w:p>
        </w:tc>
      </w:tr>
      <w:tr>
        <w:tc>
          <w:tcPr>
            <w:tcW w:type="dxa" w:w="3500"/>
            <w:shd w:fill="F9FAFB" w:color="auto" w:val="clear"/>
            <w:tcMar>
              <w:top w:type="dxa" w:w="80"/>
              <w:left w:type="dxa" w:w="100"/>
              <w:bottom w:type="dxa" w:w="80"/>
              <w:right w:type="dxa" w:w="100"/>
            </w:tcMar>
          </w:tcPr>
          <w:p>
            <w:r>
              <w:rPr>
                <w:rFonts w:ascii="Arial" w:cs="Arial" w:eastAsia="Arial" w:hAnsi="Arial"/>
                <w:sz w:val="18"/>
                <w:szCs w:val="18"/>
              </w:rPr>
              <w:t xml:space="preserve">Conservación 5 años</w:t>
            </w:r>
          </w:p>
        </w:tc>
        <w:tc>
          <w:tcPr>
            <w:tcW w:type="dxa" w:w="5000"/>
            <w:shd w:fill="F9FAFB" w:color="auto" w:val="clear"/>
            <w:tcMar>
              <w:top w:type="dxa" w:w="80"/>
              <w:left w:type="dxa" w:w="100"/>
              <w:bottom w:type="dxa" w:w="80"/>
              <w:right w:type="dxa" w:w="100"/>
            </w:tcMar>
          </w:tcPr>
          <w:p>
            <w:r>
              <w:rPr>
                <w:rFonts w:ascii="Arial" w:cs="Arial" w:eastAsia="Arial" w:hAnsi="Arial"/>
                <w:sz w:val="18"/>
                <w:szCs w:val="18"/>
              </w:rPr>
              <w:t xml:space="preserve">Las marcas y registros contables se conservan 5 años incluso después de la anonimización.</w:t>
            </w:r>
          </w:p>
        </w:tc>
      </w:tr>
    </w:tbl>
    <w:p>
      <w:r>
        <w:rPr>
          <w:sz w:val="14"/>
          <w:szCs w:val="14"/>
        </w:rPr>
        <w:t xml:space="preserve"/>
      </w:r>
    </w:p>
    <w:p>
      <w:pPr>
        <w:pStyle w:val="Heading2"/>
        <w:spacing w:after="140" w:before="280"/>
      </w:pPr>
      <w:r>
        <w:rPr>
          <w:rFonts w:ascii="Arial" w:cs="Arial" w:eastAsia="Arial" w:hAnsi="Arial"/>
          <w:b/>
          <w:bCs/>
          <w:color w:val="1F2937"/>
          <w:sz w:val="26"/>
          <w:szCs w:val="26"/>
        </w:rPr>
        <w:t xml:space="preserve">7. Cerrar sesión</w:t>
      </w:r>
    </w:p>
    <w:p>
      <w:pPr>
        <w:spacing w:after="80"/>
        <w:jc w:val="left"/>
      </w:pPr>
      <w:r>
        <w:rPr>
          <w:rFonts w:ascii="Arial" w:cs="Arial" w:eastAsia="Arial" w:hAnsi="Arial"/>
          <w:b w:val="false"/>
          <w:bCs w:val="false"/>
          <w:i w:val="false"/>
          <w:iCs w:val="false"/>
          <w:sz w:val="20"/>
          <w:szCs w:val="20"/>
        </w:rPr>
        <w:t xml:space="preserve">Pulsa el botón "Cerrar sesión" en la esquina superior derecha del panel. Tu cookie de sesión expirará. Si más adelante necesitas volver a entrar, usa la misma clave temporal (mientras esté vigente) o solicita una nueva.</w:t>
      </w:r>
    </w:p>
    <w:p>
      <w:pPr>
        <w:pStyle w:val="Heading2"/>
        <w:spacing w:after="140" w:before="280"/>
      </w:pPr>
      <w:r>
        <w:rPr>
          <w:rFonts w:ascii="Arial" w:cs="Arial" w:eastAsia="Arial" w:hAnsi="Arial"/>
          <w:b/>
          <w:bCs/>
          <w:color w:val="1F2937"/>
          <w:sz w:val="26"/>
          <w:szCs w:val="26"/>
        </w:rPr>
        <w:t xml:space="preserve">8. Soporte y dudas técnicas</w:t>
      </w:r>
    </w:p>
    <w:p>
      <w:pPr>
        <w:spacing w:after="80"/>
        <w:jc w:val="left"/>
      </w:pPr>
      <w:r>
        <w:rPr>
          <w:rFonts w:ascii="Arial" w:cs="Arial" w:eastAsia="Arial" w:hAnsi="Arial"/>
          <w:b w:val="false"/>
          <w:bCs w:val="false"/>
          <w:i w:val="false"/>
          <w:iCs w:val="false"/>
          <w:sz w:val="20"/>
          <w:szCs w:val="20"/>
        </w:rPr>
        <w:t xml:space="preserve">Si encuentras un problema con el sistema (datos faltantes, descargas que fallan, etc.), contacta directamente al empleador. El sistema fue auditado conforme a la Res. 38 y debería responder a tus consultas con la información estandarizada.</w:t>
      </w:r>
    </w:p>
    <w:p>
      <w:pPr>
        <w:spacing w:after="80"/>
        <w:jc w:val="left"/>
      </w:pPr>
      <w:r>
        <w:rPr>
          <w:rFonts w:ascii="Arial" w:cs="Arial" w:eastAsia="Arial" w:hAnsi="Arial"/>
          <w:b w:val="false"/>
          <w:bCs w:val="false"/>
          <w:i w:val="false"/>
          <w:iCs w:val="false"/>
          <w:sz w:val="20"/>
          <w:szCs w:val="20"/>
        </w:rPr>
        <w:t xml:space="preserve">Si detectas indicios de alteración de datos (por ejemplo, hashes que no validan), eso es una falta grave del empleador conforme al Art. 14 de la Res. 38. El sistema preserva evidencia automática para investigar tales casos.</w:t>
      </w:r>
    </w:p>
    <w:p>
      <w:r>
        <w:rPr>
          <w:sz w:val="14"/>
          <w:szCs w:val="14"/>
        </w:rPr>
        <w:t xml:space="preserve"/>
      </w:r>
    </w:p>
    <w:p>
      <w:pPr>
        <w:spacing w:before="360"/>
        <w:jc w:val="center"/>
      </w:pPr>
      <w:r>
        <w:rPr>
          <w:rFonts w:ascii="Arial" w:cs="Arial" w:eastAsia="Arial" w:hAnsi="Arial"/>
          <w:i/>
          <w:iCs/>
          <w:color w:val="6B7280"/>
          <w:sz w:val="14"/>
          <w:szCs w:val="14"/>
        </w:rPr>
        <w:t xml:space="preserve">Conforme Art. 33 Código del Trabajo · Res. Ex. DT N° 38 (2024) · Ley 19.628</w:t>
      </w:r>
    </w:p>
    <w:p>
      <w:pPr>
        <w:spacing w:after="80"/>
        <w:jc w:val="center"/>
      </w:pPr>
      <w:r>
        <w:rPr>
          <w:rFonts w:ascii="Arial" w:cs="Arial" w:eastAsia="Arial" w:hAnsi="Arial"/>
          <w:b w:val="false"/>
          <w:bCs w:val="false"/>
          <w:i/>
          <w:iCs/>
          <w:color w:val="6B7280"/>
          <w:sz w:val="14"/>
          <w:szCs w:val="14"/>
        </w:rPr>
        <w:t xml:space="preserve">Control Cloud · Manual generado el 21/07/2026</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fiscalizador DT — Control Cloud</dc:title>
  <dc:creator>Control Cloud</dc:creator>
  <dc:description>Guía para fiscalizadores de la Dirección del Trabajo</dc:description>
  <cp:lastModifiedBy>Un-named</cp:lastModifiedBy>
  <cp:revision>1</cp:revision>
  <dcterms:created xsi:type="dcterms:W3CDTF">2026-07-22T01:42:07.407Z</dcterms:created>
  <dcterms:modified xsi:type="dcterms:W3CDTF">2026-07-22T01:42:07.407Z</dcterms:modified>
</cp:coreProperties>
</file>

<file path=docProps/custom.xml><?xml version="1.0" encoding="utf-8"?>
<Properties xmlns="http://schemas.openxmlformats.org/officeDocument/2006/custom-properties" xmlns:vt="http://schemas.openxmlformats.org/officeDocument/2006/docPropsVTypes"/>
</file>